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lang w:val="sv-SE"/>
        </w:rPr>
      </w:pPr>
      <w:r>
        <w:rPr>
          <w:rFonts w:ascii="Times New Roman" w:hAnsi="Times New Roman" w:cs="Times New Roman"/>
          <w:b/>
          <w:lang w:val="sv-SE"/>
        </w:rPr>
        <w:t>NUOMOS SUTARTIS</w:t>
      </w:r>
    </w:p>
    <w:p>
      <w:pPr>
        <w:spacing w:after="0" w:line="240" w:lineRule="auto"/>
        <w:jc w:val="center"/>
        <w:rPr>
          <w:rFonts w:hint="default" w:ascii="Times New Roman" w:hAnsi="Times New Roman" w:cs="Times New Roman"/>
          <w:lang w:val="en-US"/>
        </w:rPr>
      </w:pPr>
      <w:r>
        <w:rPr>
          <w:rFonts w:ascii="Times New Roman" w:hAnsi="Times New Roman" w:cs="Times New Roman"/>
          <w:lang w:val="sv-SE"/>
        </w:rPr>
        <w:t>Nr. 0</w:t>
      </w:r>
      <w:r>
        <w:rPr>
          <w:rFonts w:hint="default" w:ascii="Times New Roman" w:hAnsi="Times New Roman" w:cs="Times New Roman"/>
          <w:lang w:val="lt-LT"/>
        </w:rPr>
        <w:t>5</w:t>
      </w:r>
      <w:r>
        <w:rPr>
          <w:rFonts w:hint="default" w:ascii="Times New Roman" w:hAnsi="Times New Roman" w:cs="Times New Roman"/>
          <w:lang w:val="en-US"/>
        </w:rPr>
        <w:t>10</w:t>
      </w:r>
    </w:p>
    <w:p>
      <w:pPr>
        <w:spacing w:after="0" w:line="240" w:lineRule="auto"/>
        <w:jc w:val="center"/>
        <w:rPr>
          <w:rFonts w:ascii="Times New Roman" w:hAnsi="Times New Roman" w:cs="Times New Roman"/>
          <w:b/>
        </w:rPr>
      </w:pPr>
      <w:r>
        <w:rPr>
          <w:rFonts w:ascii="Times New Roman" w:hAnsi="Times New Roman" w:cs="Times New Roman"/>
          <w:b/>
        </w:rPr>
        <w:t>2021 m.</w:t>
      </w:r>
      <w:r>
        <w:rPr>
          <w:rFonts w:hint="default" w:ascii="Times New Roman" w:hAnsi="Times New Roman" w:cs="Times New Roman"/>
          <w:b/>
          <w:lang w:val="lt-LT"/>
        </w:rPr>
        <w:t xml:space="preserve"> gegužės </w:t>
      </w:r>
      <w:r>
        <w:rPr>
          <w:rFonts w:ascii="Times New Roman" w:hAnsi="Times New Roman" w:cs="Times New Roman"/>
          <w:b/>
        </w:rPr>
        <w:t xml:space="preserve">mėn. </w:t>
      </w:r>
      <w:r>
        <w:rPr>
          <w:rFonts w:hint="default" w:ascii="Times New Roman" w:hAnsi="Times New Roman" w:cs="Times New Roman"/>
          <w:b/>
          <w:lang w:val="en-US"/>
        </w:rPr>
        <w:t>10</w:t>
      </w:r>
      <w:r>
        <w:rPr>
          <w:rFonts w:ascii="Times New Roman" w:hAnsi="Times New Roman" w:cs="Times New Roman"/>
          <w:b/>
        </w:rPr>
        <w:t xml:space="preserve"> d.</w:t>
      </w:r>
    </w:p>
    <w:p>
      <w:pPr>
        <w:spacing w:after="0" w:line="240" w:lineRule="auto"/>
        <w:jc w:val="both"/>
        <w:rPr>
          <w:rFonts w:ascii="Times New Roman" w:hAnsi="Times New Roman" w:cs="Times New Roman"/>
          <w:b/>
        </w:rPr>
      </w:pPr>
    </w:p>
    <w:p>
      <w:pPr>
        <w:spacing w:after="0" w:line="240" w:lineRule="auto"/>
        <w:ind w:left="709" w:right="142"/>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MB ,,BITĖMED“ atstovaujama </w:t>
      </w:r>
      <w:r>
        <w:rPr>
          <w:rFonts w:ascii="Times New Roman" w:hAnsi="Times New Roman" w:cs="Times New Roman"/>
          <w:b/>
          <w:sz w:val="20"/>
          <w:szCs w:val="20"/>
          <w:u w:val="single"/>
        </w:rPr>
        <w:t>Viktorijos Griguolaitės</w:t>
      </w:r>
      <w:r>
        <w:rPr>
          <w:rFonts w:ascii="Times New Roman" w:hAnsi="Times New Roman" w:cs="Times New Roman"/>
          <w:b/>
          <w:sz w:val="20"/>
          <w:szCs w:val="20"/>
        </w:rPr>
        <w:t xml:space="preserve"> veikiančios pagal įmonės įstatus</w:t>
      </w:r>
      <w:r>
        <w:rPr>
          <w:rFonts w:ascii="Times New Roman" w:hAnsi="Times New Roman" w:cs="Times New Roman"/>
          <w:sz w:val="20"/>
          <w:szCs w:val="20"/>
        </w:rPr>
        <w:t xml:space="preserve"> (toliau </w:t>
      </w:r>
      <w:r>
        <w:rPr>
          <w:rFonts w:ascii="Times New Roman" w:hAnsi="Times New Roman" w:cs="Times New Roman"/>
          <w:b/>
          <w:sz w:val="20"/>
          <w:szCs w:val="20"/>
        </w:rPr>
        <w:t>Nuomotojas</w:t>
      </w:r>
      <w:r>
        <w:rPr>
          <w:rFonts w:ascii="Times New Roman" w:hAnsi="Times New Roman" w:cs="Times New Roman"/>
          <w:sz w:val="20"/>
          <w:szCs w:val="20"/>
        </w:rPr>
        <w:t>) ir</w:t>
      </w:r>
      <w:r>
        <w:rPr>
          <w:rFonts w:hint="default" w:ascii="Times New Roman" w:hAnsi="Times New Roman" w:cs="Times New Roman"/>
          <w:b/>
          <w:bCs/>
          <w:sz w:val="20"/>
          <w:szCs w:val="20"/>
          <w:u w:val="single"/>
          <w:lang w:val="en-US"/>
        </w:rPr>
        <w:t xml:space="preserve"> </w:t>
      </w:r>
      <w:r>
        <w:rPr>
          <w:rFonts w:hint="default" w:ascii="Times New Roman" w:hAnsi="Times New Roman" w:cs="Times New Roman"/>
          <w:b/>
          <w:bCs/>
          <w:color w:val="auto"/>
          <w:sz w:val="20"/>
          <w:szCs w:val="20"/>
          <w:u w:val="single"/>
          <w:lang w:val="en-US"/>
        </w:rPr>
        <w:t>Giedr</w:t>
      </w:r>
      <w:r>
        <w:rPr>
          <w:rFonts w:hint="default" w:ascii="Times New Roman" w:hAnsi="Times New Roman" w:cs="Times New Roman"/>
          <w:b/>
          <w:bCs/>
          <w:color w:val="auto"/>
          <w:sz w:val="20"/>
          <w:szCs w:val="20"/>
          <w:u w:val="single"/>
          <w:lang w:val="lt-LT"/>
        </w:rPr>
        <w:t>ė Gražulė</w:t>
      </w:r>
      <w:r>
        <w:rPr>
          <w:rFonts w:hint="default" w:ascii="Times New Roman" w:hAnsi="Times New Roman" w:cs="Times New Roman"/>
          <w:sz w:val="20"/>
          <w:szCs w:val="20"/>
          <w:lang w:val="lt-LT"/>
        </w:rPr>
        <w:t xml:space="preserve"> </w:t>
      </w:r>
      <w:r>
        <w:rPr>
          <w:rFonts w:ascii="Times New Roman" w:hAnsi="Times New Roman" w:cs="Times New Roman"/>
          <w:b/>
          <w:sz w:val="20"/>
          <w:szCs w:val="20"/>
        </w:rPr>
        <w:t>(</w:t>
      </w:r>
      <w:r>
        <w:rPr>
          <w:rFonts w:ascii="Times New Roman" w:hAnsi="Times New Roman" w:cs="Times New Roman"/>
          <w:sz w:val="20"/>
          <w:szCs w:val="20"/>
        </w:rPr>
        <w:t>toliau</w:t>
      </w:r>
      <w:r>
        <w:rPr>
          <w:rFonts w:ascii="Times New Roman" w:hAnsi="Times New Roman" w:cs="Times New Roman"/>
          <w:b/>
          <w:sz w:val="20"/>
          <w:szCs w:val="20"/>
        </w:rPr>
        <w:t xml:space="preserve"> Nuomininkas) sudarėme šią sutartį:                                                                                                   </w:t>
      </w:r>
    </w:p>
    <w:p>
      <w:pPr>
        <w:pStyle w:val="6"/>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Šia sutartimi Nuomotojas suteikia teisę už mokestį naudotis šiuos medicinos prietaisus/ priemones:</w:t>
      </w:r>
    </w:p>
    <w:p>
      <w:pPr>
        <w:pStyle w:val="6"/>
        <w:spacing w:after="0" w:line="240" w:lineRule="auto"/>
        <w:jc w:val="both"/>
        <w:rPr>
          <w:rFonts w:ascii="Times New Roman" w:hAnsi="Times New Roman" w:cs="Times New Roman"/>
          <w:sz w:val="20"/>
          <w:szCs w:val="20"/>
        </w:rPr>
      </w:pPr>
    </w:p>
    <w:tbl>
      <w:tblPr>
        <w:tblStyle w:val="5"/>
        <w:tblW w:w="8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134"/>
        <w:gridCol w:w="1134"/>
        <w:gridCol w:w="1035"/>
        <w:gridCol w:w="1080"/>
        <w:gridCol w:w="1145"/>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Prietaisas</w:t>
            </w:r>
          </w:p>
        </w:tc>
        <w:tc>
          <w:tcPr>
            <w:tcW w:w="1134" w:type="dxa"/>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Paėmimo data</w:t>
            </w:r>
          </w:p>
        </w:tc>
        <w:tc>
          <w:tcPr>
            <w:tcW w:w="1134" w:type="dxa"/>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Grąžinimo data (Užrašoma prietaiso gražinimo dieną)</w:t>
            </w:r>
          </w:p>
        </w:tc>
        <w:tc>
          <w:tcPr>
            <w:tcW w:w="3260" w:type="dxa"/>
            <w:gridSpan w:val="3"/>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Nuomos mokestis </w:t>
            </w:r>
          </w:p>
        </w:tc>
        <w:tc>
          <w:tcPr>
            <w:tcW w:w="1019" w:type="dxa"/>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Iš viso, eur </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Užrašoma prietaiso gražinimo dieną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587" w:type="dxa"/>
            <w:vAlign w:val="center"/>
          </w:tcPr>
          <w:p>
            <w:pPr>
              <w:spacing w:after="0" w:line="240" w:lineRule="auto"/>
              <w:jc w:val="both"/>
              <w:rPr>
                <w:rFonts w:ascii="Times New Roman" w:hAnsi="Times New Roman" w:cs="Times New Roman"/>
                <w:sz w:val="18"/>
                <w:szCs w:val="18"/>
              </w:rPr>
            </w:pPr>
          </w:p>
        </w:tc>
        <w:tc>
          <w:tcPr>
            <w:tcW w:w="1134" w:type="dxa"/>
            <w:vAlign w:val="center"/>
          </w:tcPr>
          <w:p>
            <w:pPr>
              <w:spacing w:after="0" w:line="240" w:lineRule="auto"/>
              <w:jc w:val="both"/>
              <w:rPr>
                <w:rFonts w:ascii="Times New Roman" w:hAnsi="Times New Roman" w:cs="Times New Roman"/>
                <w:sz w:val="18"/>
                <w:szCs w:val="18"/>
              </w:rPr>
            </w:pPr>
          </w:p>
        </w:tc>
        <w:tc>
          <w:tcPr>
            <w:tcW w:w="1134" w:type="dxa"/>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Iki</w:t>
            </w:r>
          </w:p>
        </w:tc>
        <w:tc>
          <w:tcPr>
            <w:tcW w:w="1035" w:type="dxa"/>
            <w:vAlign w:val="center"/>
          </w:tcPr>
          <w:p>
            <w:pPr>
              <w:spacing w:after="0" w:line="240" w:lineRule="auto"/>
              <w:jc w:val="center"/>
              <w:rPr>
                <w:rFonts w:ascii="Times New Roman" w:hAnsi="Times New Roman" w:cs="Times New Roman"/>
                <w:sz w:val="18"/>
                <w:szCs w:val="18"/>
              </w:rPr>
            </w:pPr>
            <w:r>
              <w:rPr>
                <w:rFonts w:hint="default" w:ascii="Times New Roman" w:hAnsi="Times New Roman" w:cs="Times New Roman"/>
                <w:sz w:val="18"/>
                <w:szCs w:val="18"/>
                <w:lang w:val="lt-LT"/>
              </w:rPr>
              <w:t>1</w:t>
            </w:r>
            <w:r>
              <w:rPr>
                <w:rFonts w:ascii="Times New Roman" w:hAnsi="Times New Roman" w:cs="Times New Roman"/>
                <w:sz w:val="18"/>
                <w:szCs w:val="18"/>
              </w:rPr>
              <w:t xml:space="preserve"> mėn</w:t>
            </w:r>
          </w:p>
        </w:tc>
        <w:tc>
          <w:tcPr>
            <w:tcW w:w="1080" w:type="dxa"/>
            <w:vAlign w:val="center"/>
          </w:tcPr>
          <w:p>
            <w:pPr>
              <w:spacing w:after="0" w:line="240" w:lineRule="auto"/>
              <w:jc w:val="center"/>
              <w:rPr>
                <w:rFonts w:ascii="Times New Roman" w:hAnsi="Times New Roman" w:cs="Times New Roman"/>
                <w:sz w:val="18"/>
                <w:szCs w:val="18"/>
              </w:rPr>
            </w:pPr>
            <w:r>
              <w:rPr>
                <w:rFonts w:hint="default" w:ascii="Times New Roman" w:hAnsi="Times New Roman" w:cs="Times New Roman"/>
                <w:sz w:val="18"/>
                <w:szCs w:val="18"/>
                <w:lang w:val="lt-LT"/>
              </w:rPr>
              <w:t>2</w:t>
            </w:r>
            <w:r>
              <w:rPr>
                <w:rFonts w:ascii="Times New Roman" w:hAnsi="Times New Roman" w:cs="Times New Roman"/>
                <w:sz w:val="18"/>
                <w:szCs w:val="18"/>
              </w:rPr>
              <w:t xml:space="preserve"> mėn</w:t>
            </w:r>
          </w:p>
        </w:tc>
        <w:tc>
          <w:tcPr>
            <w:tcW w:w="1145" w:type="dxa"/>
            <w:vAlign w:val="center"/>
          </w:tcPr>
          <w:p>
            <w:pPr>
              <w:spacing w:after="0" w:line="240" w:lineRule="auto"/>
              <w:jc w:val="center"/>
              <w:rPr>
                <w:rFonts w:ascii="Times New Roman" w:hAnsi="Times New Roman" w:cs="Times New Roman"/>
                <w:sz w:val="18"/>
                <w:szCs w:val="18"/>
              </w:rPr>
            </w:pPr>
            <w:r>
              <w:rPr>
                <w:rFonts w:hint="default" w:ascii="Times New Roman" w:hAnsi="Times New Roman" w:cs="Times New Roman"/>
                <w:sz w:val="18"/>
                <w:szCs w:val="18"/>
                <w:lang w:val="lt-LT"/>
              </w:rPr>
              <w:t xml:space="preserve">3 </w:t>
            </w:r>
            <w:r>
              <w:rPr>
                <w:rFonts w:ascii="Times New Roman" w:hAnsi="Times New Roman" w:cs="Times New Roman"/>
                <w:sz w:val="18"/>
                <w:szCs w:val="18"/>
              </w:rPr>
              <w:t>mėn</w:t>
            </w:r>
          </w:p>
        </w:tc>
        <w:tc>
          <w:tcPr>
            <w:tcW w:w="1019" w:type="dxa"/>
            <w:vAlign w:val="center"/>
          </w:tcPr>
          <w:p>
            <w:pPr>
              <w:spacing w:after="0" w:line="240" w:lineRule="auto"/>
              <w:jc w:val="both"/>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87" w:type="dxa"/>
            <w:vAlign w:val="center"/>
          </w:tcPr>
          <w:p>
            <w:pPr>
              <w:spacing w:after="0" w:line="240" w:lineRule="auto"/>
              <w:jc w:val="center"/>
              <w:rPr>
                <w:rFonts w:hint="default" w:ascii="Times New Roman" w:hAnsi="Times New Roman" w:cs="Times New Roman"/>
                <w:b/>
                <w:sz w:val="18"/>
                <w:szCs w:val="18"/>
                <w:lang w:val="lt-LT"/>
              </w:rPr>
            </w:pPr>
            <w:r>
              <w:rPr>
                <w:rFonts w:hint="default" w:ascii="Times New Roman" w:hAnsi="Times New Roman" w:cs="Times New Roman"/>
                <w:b/>
                <w:sz w:val="18"/>
                <w:szCs w:val="18"/>
                <w:lang w:val="en-US"/>
              </w:rPr>
              <w:t>Du</w:t>
            </w:r>
            <w:r>
              <w:rPr>
                <w:rFonts w:hint="default" w:ascii="Times New Roman" w:hAnsi="Times New Roman" w:cs="Times New Roman"/>
                <w:b/>
                <w:sz w:val="18"/>
                <w:szCs w:val="18"/>
                <w:lang w:val="lt-LT"/>
              </w:rPr>
              <w:t>šo - tualeto kėdė</w:t>
            </w:r>
          </w:p>
        </w:tc>
        <w:tc>
          <w:tcPr>
            <w:tcW w:w="1134" w:type="dxa"/>
            <w:vAlign w:val="center"/>
          </w:tcPr>
          <w:p>
            <w:pPr>
              <w:spacing w:after="0" w:line="240" w:lineRule="auto"/>
              <w:jc w:val="center"/>
              <w:rPr>
                <w:rFonts w:hint="default" w:ascii="Times New Roman" w:hAnsi="Times New Roman" w:cs="Times New Roman"/>
                <w:b/>
                <w:sz w:val="18"/>
                <w:szCs w:val="18"/>
                <w:lang w:val="en-US"/>
              </w:rPr>
            </w:pPr>
            <w:r>
              <w:rPr>
                <w:rFonts w:ascii="Times New Roman" w:hAnsi="Times New Roman" w:cs="Times New Roman"/>
                <w:b/>
                <w:sz w:val="18"/>
                <w:szCs w:val="18"/>
              </w:rPr>
              <w:t>2021-0</w:t>
            </w:r>
            <w:r>
              <w:rPr>
                <w:rFonts w:hint="default" w:ascii="Times New Roman" w:hAnsi="Times New Roman" w:cs="Times New Roman"/>
                <w:b/>
                <w:sz w:val="18"/>
                <w:szCs w:val="18"/>
                <w:lang w:val="lt-LT"/>
              </w:rPr>
              <w:t>5</w:t>
            </w:r>
            <w:r>
              <w:rPr>
                <w:rFonts w:ascii="Times New Roman" w:hAnsi="Times New Roman" w:cs="Times New Roman"/>
                <w:b/>
                <w:sz w:val="18"/>
                <w:szCs w:val="18"/>
              </w:rPr>
              <w:t>-</w:t>
            </w:r>
            <w:r>
              <w:rPr>
                <w:rFonts w:hint="default" w:ascii="Times New Roman" w:hAnsi="Times New Roman" w:cs="Times New Roman"/>
                <w:b/>
                <w:sz w:val="18"/>
                <w:szCs w:val="18"/>
                <w:lang w:val="lt-LT"/>
              </w:rPr>
              <w:t>0</w:t>
            </w:r>
            <w:r>
              <w:rPr>
                <w:rFonts w:hint="default" w:ascii="Times New Roman" w:hAnsi="Times New Roman" w:cs="Times New Roman"/>
                <w:b/>
                <w:sz w:val="18"/>
                <w:szCs w:val="18"/>
                <w:lang w:val="en-US"/>
              </w:rPr>
              <w:t>8</w:t>
            </w:r>
          </w:p>
        </w:tc>
        <w:tc>
          <w:tcPr>
            <w:tcW w:w="1134" w:type="dxa"/>
            <w:vAlign w:val="center"/>
          </w:tcPr>
          <w:p>
            <w:pPr>
              <w:spacing w:after="0" w:line="240" w:lineRule="auto"/>
              <w:jc w:val="center"/>
              <w:rPr>
                <w:rFonts w:hint="default" w:ascii="Times New Roman" w:hAnsi="Times New Roman" w:cs="Times New Roman"/>
                <w:b/>
                <w:sz w:val="18"/>
                <w:szCs w:val="18"/>
                <w:lang w:val="en-US"/>
              </w:rPr>
            </w:pPr>
            <w:r>
              <w:rPr>
                <w:rFonts w:ascii="Times New Roman" w:hAnsi="Times New Roman" w:cs="Times New Roman"/>
                <w:b/>
                <w:sz w:val="18"/>
                <w:szCs w:val="18"/>
              </w:rPr>
              <w:t>2021-0</w:t>
            </w:r>
            <w:r>
              <w:rPr>
                <w:rFonts w:hint="default" w:ascii="Times New Roman" w:hAnsi="Times New Roman" w:cs="Times New Roman"/>
                <w:b/>
                <w:sz w:val="18"/>
                <w:szCs w:val="18"/>
                <w:lang w:val="lt-LT"/>
              </w:rPr>
              <w:t>6</w:t>
            </w:r>
            <w:r>
              <w:rPr>
                <w:rFonts w:ascii="Times New Roman" w:hAnsi="Times New Roman" w:cs="Times New Roman"/>
                <w:b/>
                <w:sz w:val="18"/>
                <w:szCs w:val="18"/>
              </w:rPr>
              <w:t>-</w:t>
            </w:r>
            <w:r>
              <w:rPr>
                <w:rFonts w:hint="default" w:ascii="Times New Roman" w:hAnsi="Times New Roman" w:cs="Times New Roman"/>
                <w:b/>
                <w:sz w:val="18"/>
                <w:szCs w:val="18"/>
                <w:lang w:val="lt-LT"/>
              </w:rPr>
              <w:t>0</w:t>
            </w:r>
            <w:r>
              <w:rPr>
                <w:rFonts w:hint="default" w:ascii="Times New Roman" w:hAnsi="Times New Roman" w:cs="Times New Roman"/>
                <w:b/>
                <w:sz w:val="18"/>
                <w:szCs w:val="18"/>
                <w:lang w:val="en-US"/>
              </w:rPr>
              <w:t>8</w:t>
            </w:r>
          </w:p>
        </w:tc>
        <w:tc>
          <w:tcPr>
            <w:tcW w:w="1035" w:type="dxa"/>
            <w:vAlign w:val="center"/>
          </w:tcPr>
          <w:p>
            <w:pPr>
              <w:spacing w:after="0" w:line="240" w:lineRule="auto"/>
              <w:jc w:val="center"/>
              <w:rPr>
                <w:rFonts w:ascii="Times New Roman" w:hAnsi="Times New Roman" w:cs="Times New Roman"/>
                <w:sz w:val="18"/>
                <w:szCs w:val="18"/>
              </w:rPr>
            </w:pPr>
            <w:r>
              <w:rPr>
                <w:rFonts w:hint="default" w:ascii="Times New Roman" w:hAnsi="Times New Roman" w:cs="Times New Roman"/>
                <w:sz w:val="18"/>
                <w:szCs w:val="18"/>
                <w:lang w:val="en-US"/>
              </w:rPr>
              <w:t>35</w:t>
            </w:r>
            <w:r>
              <w:rPr>
                <w:rFonts w:hint="default" w:ascii="Times New Roman" w:hAnsi="Times New Roman" w:cs="Times New Roman"/>
                <w:sz w:val="18"/>
                <w:szCs w:val="18"/>
                <w:lang w:val="lt-LT"/>
              </w:rPr>
              <w:t xml:space="preserve"> </w:t>
            </w:r>
            <w:r>
              <w:rPr>
                <w:rFonts w:ascii="Times New Roman" w:hAnsi="Times New Roman" w:cs="Times New Roman"/>
                <w:sz w:val="18"/>
                <w:szCs w:val="18"/>
              </w:rPr>
              <w:t>eur</w:t>
            </w:r>
          </w:p>
        </w:tc>
        <w:tc>
          <w:tcPr>
            <w:tcW w:w="1080" w:type="dxa"/>
            <w:vAlign w:val="center"/>
          </w:tcPr>
          <w:p>
            <w:pPr>
              <w:spacing w:after="0" w:line="240" w:lineRule="auto"/>
              <w:jc w:val="center"/>
              <w:rPr>
                <w:rFonts w:ascii="Times New Roman" w:hAnsi="Times New Roman" w:cs="Times New Roman"/>
                <w:sz w:val="18"/>
                <w:szCs w:val="18"/>
              </w:rPr>
            </w:pPr>
            <w:r>
              <w:rPr>
                <w:rFonts w:hint="default" w:ascii="Times New Roman" w:hAnsi="Times New Roman" w:cs="Times New Roman"/>
                <w:sz w:val="18"/>
                <w:szCs w:val="18"/>
                <w:lang w:val="en-US"/>
              </w:rPr>
              <w:t>35</w:t>
            </w:r>
            <w:r>
              <w:rPr>
                <w:rFonts w:ascii="Times New Roman" w:hAnsi="Times New Roman" w:cs="Times New Roman"/>
                <w:sz w:val="18"/>
                <w:szCs w:val="18"/>
              </w:rPr>
              <w:t xml:space="preserve"> eur</w:t>
            </w:r>
          </w:p>
        </w:tc>
        <w:tc>
          <w:tcPr>
            <w:tcW w:w="1145" w:type="dxa"/>
            <w:vAlign w:val="center"/>
          </w:tcPr>
          <w:p>
            <w:pPr>
              <w:spacing w:after="0" w:line="240" w:lineRule="auto"/>
              <w:jc w:val="center"/>
              <w:rPr>
                <w:rFonts w:ascii="Times New Roman" w:hAnsi="Times New Roman" w:cs="Times New Roman"/>
                <w:sz w:val="18"/>
                <w:szCs w:val="18"/>
              </w:rPr>
            </w:pPr>
            <w:r>
              <w:rPr>
                <w:rFonts w:hint="default" w:ascii="Times New Roman" w:hAnsi="Times New Roman" w:cs="Times New Roman"/>
                <w:sz w:val="18"/>
                <w:szCs w:val="18"/>
                <w:lang w:val="en-US"/>
              </w:rPr>
              <w:t>35</w:t>
            </w:r>
            <w:r>
              <w:rPr>
                <w:rFonts w:ascii="Times New Roman" w:hAnsi="Times New Roman" w:cs="Times New Roman"/>
                <w:sz w:val="18"/>
                <w:szCs w:val="18"/>
              </w:rPr>
              <w:t xml:space="preserve"> eur</w:t>
            </w:r>
          </w:p>
        </w:tc>
        <w:tc>
          <w:tcPr>
            <w:tcW w:w="1019" w:type="dxa"/>
            <w:vAlign w:val="center"/>
          </w:tcPr>
          <w:p>
            <w:pPr>
              <w:spacing w:after="0" w:line="240" w:lineRule="auto"/>
              <w:jc w:val="both"/>
              <w:rPr>
                <w:rFonts w:ascii="Times New Roman" w:hAnsi="Times New Roman" w:cs="Times New Roman"/>
                <w:sz w:val="18"/>
                <w:szCs w:val="18"/>
              </w:rPr>
            </w:pPr>
          </w:p>
        </w:tc>
      </w:tr>
    </w:tbl>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Minimalus nuomos terminas: 1 mėnuo.</w:t>
      </w:r>
    </w:p>
    <w:p>
      <w:pPr>
        <w:spacing w:after="0" w:line="240" w:lineRule="auto"/>
        <w:rPr>
          <w:rFonts w:ascii="Times New Roman" w:hAnsi="Times New Roman" w:cs="Times New Roman"/>
          <w:b/>
          <w:sz w:val="20"/>
          <w:szCs w:val="20"/>
        </w:rPr>
      </w:pPr>
    </w:p>
    <w:p>
      <w:pPr>
        <w:pStyle w:val="6"/>
        <w:numPr>
          <w:ilvl w:val="0"/>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Užstato nustatymo, sumokėjimo ir grąžinimo sąlygos (</w:t>
      </w:r>
      <w:r>
        <w:rPr>
          <w:rFonts w:hint="default" w:ascii="Times New Roman" w:hAnsi="Times New Roman" w:cs="Times New Roman"/>
          <w:b/>
          <w:sz w:val="20"/>
          <w:szCs w:val="20"/>
          <w:lang w:val="en-US"/>
        </w:rPr>
        <w:t>u</w:t>
      </w:r>
      <w:r>
        <w:rPr>
          <w:rFonts w:hint="default" w:ascii="Times New Roman" w:hAnsi="Times New Roman" w:cs="Times New Roman"/>
          <w:b/>
          <w:sz w:val="20"/>
          <w:szCs w:val="20"/>
          <w:lang w:val="lt-LT"/>
        </w:rPr>
        <w:t>žstato nėra</w:t>
      </w:r>
      <w:r>
        <w:rPr>
          <w:rFonts w:ascii="Times New Roman" w:hAnsi="Times New Roman" w:cs="Times New Roman"/>
          <w:b/>
          <w:sz w:val="20"/>
          <w:szCs w:val="20"/>
        </w:rPr>
        <w:t>)</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Išnuomojamas prietaisas perduodamas nuomininkui sumokėjus nuomotojui užstatą pagal nuomotojo nustatytus tvirtus užstato dydžius.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Užstatas grąžinamas, nuomininkui pilnai sumokėjus  nuomos kainą.</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Nuomininkui grąžinus sugedusį prietaisą užstatas negrąžinamas iki sugadinimo priežasties ir kaltininko nustatymo. Prietaiso sugadinimo priežastį nustato Nuomotojo įmonėje dirbantis specialistas, turintis gamintojo sertifikatą. Tuo atveju, jeigu Nuomininkas nesutinka su Nuomotojo specialisto išvada, jam suteikiama teisė laike 1 mėnesio pateikti Nuomotojui nepriklausomo eksperto išvada.</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Nustačius, kad prietaisas sugadintas dėl Nuomininko kaltės, Nuomininkas pilnai atlygina Nuomotojui prietaiso remonto kainą ir negautas pajamas iki prietaiso atstatymo, bet neilgiau kaip už 2 mėnesius. Šiuo atveju užstatas įskaičiuojamas į atlygintinų nuostolių sumą, todėl negražinamas.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Jeigu dėl Nuomininko kaltės sugadinto prietaiso remontas negalimas, Nuomininkas sumoka Nuomotojui visą prietaiso kainą ir negautas pajamas iki naujo prietaiso įsigijimo, bet neilgiau kaip už 1 mėnesį. Šiuo atveju užstatas įskaičiuojamas į Nuomininko mokėtiną prietaiso kainą, todėl negrąžinamas.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Įvykus nuomojamo prietaiso vagystei, Nuomininkas įsipareigoja nedelsiant (nuo prietaiso praradimo momento) pranešti policijai ir laike 12 val. nuo įvykio įregistravimo policijoje, pranešti apie įvykį Nuomotojui. Jeigu Nuomininkas pažeidžia šią nustatytą vagystės įvykio registravimo tvarką, jam negražinamas užstatas ir policijai nenustačius įvykio kaltininko, Nuomininkas pilnai atlygina Nuomotojui nuostolius susijusius su įrangos praradimu; kuriuos sudaro: įrangos vertė, negautos pajamos iki Nuomininkas įsigys naują prietaisą, bet neilgiau, kaip už 3 mėnesius.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Prietaiso pristatym</w:t>
      </w:r>
      <w:r>
        <w:rPr>
          <w:rFonts w:hint="default" w:ascii="Times New Roman" w:hAnsi="Times New Roman" w:cs="Times New Roman"/>
          <w:b/>
          <w:bCs/>
          <w:sz w:val="20"/>
          <w:szCs w:val="20"/>
          <w:lang w:val="lt-LT"/>
        </w:rPr>
        <w:t>as</w:t>
      </w:r>
      <w:r>
        <w:rPr>
          <w:rFonts w:ascii="Times New Roman" w:hAnsi="Times New Roman" w:cs="Times New Roman"/>
          <w:b/>
          <w:bCs/>
          <w:sz w:val="20"/>
          <w:szCs w:val="20"/>
        </w:rPr>
        <w:t xml:space="preserve"> (surinkim</w:t>
      </w:r>
      <w:r>
        <w:rPr>
          <w:rFonts w:hint="default" w:ascii="Times New Roman" w:hAnsi="Times New Roman" w:cs="Times New Roman"/>
          <w:b/>
          <w:bCs/>
          <w:sz w:val="20"/>
          <w:szCs w:val="20"/>
          <w:lang w:val="lt-LT"/>
        </w:rPr>
        <w:t>as</w:t>
      </w:r>
      <w:r>
        <w:rPr>
          <w:rFonts w:ascii="Times New Roman" w:hAnsi="Times New Roman" w:cs="Times New Roman"/>
          <w:b/>
          <w:bCs/>
          <w:sz w:val="20"/>
          <w:szCs w:val="20"/>
        </w:rPr>
        <w:t>/užnešim</w:t>
      </w:r>
      <w:r>
        <w:rPr>
          <w:rFonts w:hint="default" w:ascii="Times New Roman" w:hAnsi="Times New Roman" w:cs="Times New Roman"/>
          <w:b/>
          <w:bCs/>
          <w:sz w:val="20"/>
          <w:szCs w:val="20"/>
          <w:lang w:val="lt-LT"/>
        </w:rPr>
        <w:t>as</w:t>
      </w:r>
      <w:r>
        <w:rPr>
          <w:rFonts w:ascii="Times New Roman" w:hAnsi="Times New Roman" w:cs="Times New Roman"/>
          <w:b/>
          <w:bCs/>
          <w:sz w:val="20"/>
          <w:szCs w:val="20"/>
        </w:rPr>
        <w:t xml:space="preserve"> - </w:t>
      </w:r>
      <w:r>
        <w:rPr>
          <w:rFonts w:hint="default" w:ascii="Times New Roman" w:hAnsi="Times New Roman" w:cs="Times New Roman"/>
          <w:b/>
          <w:bCs/>
          <w:sz w:val="20"/>
          <w:szCs w:val="20"/>
          <w:lang w:val="lt-LT"/>
        </w:rPr>
        <w:t>6</w:t>
      </w:r>
      <w:r>
        <w:rPr>
          <w:rFonts w:ascii="Times New Roman" w:hAnsi="Times New Roman" w:cs="Times New Roman"/>
          <w:b/>
          <w:bCs/>
          <w:sz w:val="20"/>
          <w:szCs w:val="20"/>
        </w:rPr>
        <w:t>5 eur) ir atsiėmim</w:t>
      </w:r>
      <w:r>
        <w:rPr>
          <w:rFonts w:hint="default" w:ascii="Times New Roman" w:hAnsi="Times New Roman" w:cs="Times New Roman"/>
          <w:b/>
          <w:bCs/>
          <w:sz w:val="20"/>
          <w:szCs w:val="20"/>
          <w:lang w:val="lt-LT"/>
        </w:rPr>
        <w:t>as</w:t>
      </w:r>
      <w:r>
        <w:rPr>
          <w:rFonts w:ascii="Times New Roman" w:hAnsi="Times New Roman" w:cs="Times New Roman"/>
          <w:b/>
          <w:bCs/>
          <w:sz w:val="20"/>
          <w:szCs w:val="20"/>
        </w:rPr>
        <w:t xml:space="preserve"> (išrinkim</w:t>
      </w:r>
      <w:r>
        <w:rPr>
          <w:rFonts w:hint="default" w:ascii="Times New Roman" w:hAnsi="Times New Roman" w:cs="Times New Roman"/>
          <w:b/>
          <w:bCs/>
          <w:sz w:val="20"/>
          <w:szCs w:val="20"/>
          <w:lang w:val="lt-LT"/>
        </w:rPr>
        <w:t>as</w:t>
      </w:r>
      <w:r>
        <w:rPr>
          <w:rFonts w:ascii="Times New Roman" w:hAnsi="Times New Roman" w:cs="Times New Roman"/>
          <w:b/>
          <w:bCs/>
          <w:sz w:val="20"/>
          <w:szCs w:val="20"/>
        </w:rPr>
        <w:t>/išnešim</w:t>
      </w:r>
      <w:r>
        <w:rPr>
          <w:rFonts w:hint="default" w:ascii="Times New Roman" w:hAnsi="Times New Roman" w:cs="Times New Roman"/>
          <w:b/>
          <w:bCs/>
          <w:sz w:val="20"/>
          <w:szCs w:val="20"/>
          <w:lang w:val="lt-LT"/>
        </w:rPr>
        <w:t>as</w:t>
      </w:r>
      <w:r>
        <w:rPr>
          <w:rFonts w:ascii="Times New Roman" w:hAnsi="Times New Roman" w:cs="Times New Roman"/>
          <w:b/>
          <w:bCs/>
          <w:sz w:val="20"/>
          <w:szCs w:val="20"/>
        </w:rPr>
        <w:t xml:space="preserve"> - </w:t>
      </w:r>
      <w:r>
        <w:rPr>
          <w:rFonts w:hint="default" w:ascii="Times New Roman" w:hAnsi="Times New Roman" w:cs="Times New Roman"/>
          <w:b/>
          <w:bCs/>
          <w:sz w:val="20"/>
          <w:szCs w:val="20"/>
          <w:lang w:val="lt-LT"/>
        </w:rPr>
        <w:t>6</w:t>
      </w:r>
      <w:r>
        <w:rPr>
          <w:rFonts w:ascii="Times New Roman" w:hAnsi="Times New Roman" w:cs="Times New Roman"/>
          <w:b/>
          <w:bCs/>
          <w:sz w:val="20"/>
          <w:szCs w:val="20"/>
        </w:rPr>
        <w:t>5 eur).</w:t>
      </w:r>
      <w:bookmarkStart w:id="0" w:name="_GoBack"/>
      <w:bookmarkEnd w:id="0"/>
    </w:p>
    <w:p>
      <w:pPr>
        <w:pStyle w:val="6"/>
        <w:numPr>
          <w:ilvl w:val="0"/>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Nuomos terminas.</w:t>
      </w:r>
    </w:p>
    <w:p>
      <w:pPr>
        <w:pStyle w:val="6"/>
        <w:numPr>
          <w:ilvl w:val="1"/>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Nuomininkas apie nuomos pratesimą ar planuojamą grąžinti nuomojamą prietaisą/įrangą, privalo pranešti Nuomotojui ne vėliau nei 5 (penkias) dienas prieš pratęsiant/grąžinant prietaisą. Nesilaikant šių terminų taikomas 10 eur papildomas mokestis.</w:t>
      </w:r>
    </w:p>
    <w:p>
      <w:pPr>
        <w:pStyle w:val="6"/>
        <w:numPr>
          <w:ilvl w:val="0"/>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Prietaiso naudojimo sąlygos.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Nuomininkas susipažįsta pasirašytinai su nuomotojo pateiktomis (raštiškomis, žodinėmis) prietaiso naudojimo instrukcijomis ir patvirtina raštu, kad perduodamas jam prietaisas yra techniškai tvarkingas ir tinkamas eksploatacijai.</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Nuomotojas įsipareigoja vykdyti prietaiso naudojimo sąlygas: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Prietaisą naudoti prisilaikant prietaiso instrukcijos sąlygų ir eksploatacijos pagal prietaiso technines charakteristikas; naudoti visas būtinas apsaugos priemones.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Nesubnuomoti, neduoti saugoti ir naudoti prietaiso tretiesiems asmenims.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Saugoti prietaisą nuo aplinkos poveikių: karščio, šalčio, dulkių, drėgmės ir kitų neigiamų poveikių, kurie gali būti sukurti dirbtinai ar dėl nuomotojo aplaidumo.</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Apie prietaiso sugadinimą Nuomininkas privalo informuoti nuomotoją nedelsiant ir laike 12 val. pristatyti prietaisą į nuomotojo nuomos punktą, kuriame prietaisas buvo perduotas Nuomininkui. Tuo atveju, jeigu Nuomininkas sugadina prietaisą o Nuomotojas pasiima prietaisą iš jo buvimo vietos, Nuomininkas apmoka prietaiso transportavimo išlaidas, jeigu bus nustatyta, kad prietaisas sugadintas dėl Nuomininko kaltės.</w:t>
      </w:r>
    </w:p>
    <w:p>
      <w:pPr>
        <w:pStyle w:val="6"/>
        <w:numPr>
          <w:ilvl w:val="0"/>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Atsiskaitymo sąlygos.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Nuomininkas, pasirinktą mėnesinį inventoriaus nuomos mokestį, privalo sumokėti, išsinuomojant inventorių. Jeigu nuomininkas nori pratęsti nuomos laikotarpį, privalo pranešti sutartyje nurodytu telefonu ir atvykti susimokėti už pratęsiamą nuomos laikotarpį.</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Nuomininkui pažeidus sutarties 5.1 p., nustatytus mokėjimo terminus, skaičiuojami delspinigiai po 0,06 proc už kiekvieną uždelstą atsiskaitymo dieną.</w:t>
      </w:r>
    </w:p>
    <w:p>
      <w:pPr>
        <w:pStyle w:val="6"/>
        <w:numPr>
          <w:ilvl w:val="1"/>
          <w:numId w:val="1"/>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Nuomos mokestį Nuomininkas sumoka grynaisiais į nuomotojo kasą arba pavedimu į Nuomotojo atsiskaitomąją sąskaitą</w:t>
      </w:r>
      <w:r>
        <w:rPr>
          <w:rFonts w:ascii="Times New Roman" w:hAnsi="Times New Roman" w:cs="Times New Roman"/>
          <w:color w:val="000000"/>
          <w:sz w:val="20"/>
          <w:szCs w:val="20"/>
          <w:shd w:val="clear" w:color="auto" w:fill="FAFAFA"/>
        </w:rPr>
        <w:t xml:space="preserve"> </w:t>
      </w:r>
      <w:r>
        <w:rPr>
          <w:rFonts w:ascii="Times New Roman" w:hAnsi="Times New Roman" w:cs="Times New Roman"/>
          <w:b/>
          <w:color w:val="000000"/>
          <w:sz w:val="20"/>
          <w:szCs w:val="20"/>
          <w:shd w:val="clear" w:color="auto" w:fill="FAFAFA"/>
        </w:rPr>
        <w:t>LT127300010166799003</w:t>
      </w:r>
      <w:r>
        <w:rPr>
          <w:rFonts w:ascii="Times New Roman" w:hAnsi="Times New Roman" w:cs="Times New Roman"/>
          <w:b/>
          <w:sz w:val="20"/>
          <w:szCs w:val="20"/>
        </w:rPr>
        <w:t>, bankas SWEDBANK, banko kodas 73000.</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Jeigu Nuomininkas prietaisą išlaikęs nepilną mėnesį (31 kalendorinę dieną), tai sumokėtas nuomos mokestis už tą mėnesį negrąžinamas.</w:t>
      </w:r>
    </w:p>
    <w:p>
      <w:pPr>
        <w:pStyle w:val="6"/>
        <w:numPr>
          <w:ilvl w:val="0"/>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Bendros sutarties sąlygos.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Šalys įsipareigoja asmens duomenis gautus pagal šią Sutartį tvarkyti atsakingai, laikantis Bendrojo duomenų apsaugos reglamento sąlygų, saugoti juos nuo praradimo, neteisėto sunaikinimo ar kitokio incidento bei naudoti tik iš Sutarties kylantiems įsipareigojimams vykdyti ir būtinos komunikacijos tikslu.</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Šalys įsipareigoja neperduoti asmens duomenų, gautų pagal šią Sutartį, jokioms trečiosioms Šalims, išskyrus: (i) kai to reikalauja galiojantys teisės aktai, (ii) duomenis tvarko duomenų tvarkytojas, kuris turi priėjimą prie asmens duomenų gaunamų pagal šią Sutartį, (iii) kai duomenis reikia perduoti kitai grupės įmonei, kuri vykdo koordinuotą tam tikrų asmens duomenų tvarkymą.</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Sutartis įsigalioja nuo pasirašymo dienos ir galioja iki galutinio atsiskaitymo.</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Šalių ginčai sprendžiami derybomis.</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Sutartis gali būti pakeista ar nutraukta raštišku šalių susitarimu.</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Ginčas teismine tvarka nagrinėjamas teisme pagal nuomotojo buvimo vietą.</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Sutartis sudaroma dviem egzemplioriais, po vieną kiekvienai šaliai.</w:t>
      </w:r>
    </w:p>
    <w:p>
      <w:pPr>
        <w:pStyle w:val="6"/>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Šalių adresai:</w:t>
      </w:r>
    </w:p>
    <w:p>
      <w:pPr>
        <w:spacing w:after="0" w:line="240" w:lineRule="auto"/>
        <w:ind w:left="360"/>
        <w:jc w:val="both"/>
        <w:rPr>
          <w:rFonts w:ascii="Times New Roman" w:hAnsi="Times New Roman" w:cs="Times New Roman"/>
          <w:sz w:val="24"/>
          <w:szCs w:val="24"/>
        </w:rPr>
      </w:pPr>
    </w:p>
    <w:p>
      <w:pPr>
        <w:spacing w:after="0" w:line="240" w:lineRule="auto"/>
        <w:ind w:left="360"/>
        <w:jc w:val="both"/>
        <w:rPr>
          <w:rFonts w:ascii="Times New Roman" w:hAnsi="Times New Roman" w:cs="Times New Roman"/>
          <w:sz w:val="24"/>
          <w:szCs w:val="24"/>
        </w:rPr>
      </w:pPr>
    </w:p>
    <w:tbl>
      <w:tblPr>
        <w:tblStyle w:val="3"/>
        <w:tblW w:w="0" w:type="auto"/>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1417"/>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rPr>
                <w:rFonts w:ascii="Times New Roman" w:hAnsi="Times New Roman" w:cs="Times New Roman"/>
                <w:b/>
                <w:sz w:val="20"/>
                <w:szCs w:val="20"/>
              </w:rPr>
            </w:pPr>
            <w:r>
              <w:rPr>
                <w:rFonts w:ascii="Times New Roman" w:hAnsi="Times New Roman" w:cs="Times New Roman"/>
                <w:b/>
                <w:sz w:val="20"/>
                <w:szCs w:val="20"/>
              </w:rPr>
              <w:t>Nuomotojas</w:t>
            </w:r>
          </w:p>
        </w:tc>
        <w:tc>
          <w:tcPr>
            <w:tcW w:w="1417" w:type="dxa"/>
            <w:tcBorders>
              <w:top w:val="nil"/>
              <w:left w:val="nil"/>
              <w:bottom w:val="nil"/>
              <w:right w:val="nil"/>
            </w:tcBorders>
            <w:shd w:val="clear" w:color="auto" w:fill="auto"/>
          </w:tcPr>
          <w:p>
            <w:pPr>
              <w:spacing w:line="240" w:lineRule="auto"/>
              <w:jc w:val="center"/>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spacing w:line="240" w:lineRule="auto"/>
              <w:rPr>
                <w:rFonts w:ascii="Times New Roman" w:hAnsi="Times New Roman" w:cs="Times New Roman"/>
                <w:b/>
                <w:sz w:val="20"/>
                <w:szCs w:val="20"/>
              </w:rPr>
            </w:pPr>
            <w:r>
              <w:rPr>
                <w:rFonts w:ascii="Times New Roman" w:hAnsi="Times New Roman" w:cs="Times New Roman"/>
                <w:b/>
                <w:sz w:val="20"/>
                <w:szCs w:val="20"/>
              </w:rPr>
              <w:t>Nuomininkas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MB ,,Bitėmed“  305701848</w:t>
            </w:r>
          </w:p>
        </w:tc>
        <w:tc>
          <w:tcPr>
            <w:tcW w:w="1417" w:type="dxa"/>
            <w:tcBorders>
              <w:top w:val="nil"/>
              <w:left w:val="nil"/>
              <w:bottom w:val="nil"/>
              <w:right w:val="nil"/>
            </w:tcBorders>
            <w:shd w:val="clear" w:color="auto" w:fill="auto"/>
          </w:tcPr>
          <w:p>
            <w:pPr>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jc w:val="both"/>
              <w:rPr>
                <w:rFonts w:hint="default" w:ascii="Times New Roman" w:hAnsi="Times New Roman" w:cs="Times New Roman"/>
                <w:sz w:val="20"/>
                <w:szCs w:val="20"/>
                <w:lang w:val="lt-LT"/>
              </w:rPr>
            </w:pPr>
            <w:r>
              <w:rPr>
                <w:rFonts w:hint="default" w:ascii="Times New Roman" w:hAnsi="Times New Roman" w:cs="Times New Roman"/>
                <w:sz w:val="20"/>
                <w:szCs w:val="20"/>
                <w:lang w:val="lt-LT"/>
              </w:rPr>
              <w:t>Giedrė Gražulė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r>
              <w:rPr>
                <w:rFonts w:ascii="Times New Roman" w:hAnsi="Times New Roman" w:cs="Times New Roman"/>
                <w:sz w:val="20"/>
                <w:szCs w:val="20"/>
              </w:rPr>
              <w:t>Malūno g. 2A, Pakamoniai, LT-99308 Pagėgiai</w:t>
            </w:r>
          </w:p>
        </w:tc>
        <w:tc>
          <w:tcPr>
            <w:tcW w:w="1417" w:type="dxa"/>
            <w:tcBorders>
              <w:top w:val="nil"/>
              <w:left w:val="nil"/>
              <w:bottom w:val="nil"/>
              <w:right w:val="nil"/>
            </w:tcBorders>
            <w:shd w:val="clear" w:color="auto" w:fill="auto"/>
          </w:tcPr>
          <w:p>
            <w:pPr>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numPr>
                <w:ilvl w:val="0"/>
                <w:numId w:val="0"/>
              </w:numPr>
              <w:spacing w:after="0"/>
              <w:rPr>
                <w:rFonts w:hint="default" w:ascii="Times New Roman" w:hAnsi="Times New Roman" w:eastAsia="Times New Roman" w:cs="Times New Roman"/>
                <w:sz w:val="20"/>
                <w:szCs w:val="20"/>
                <w:lang w:val="en-US" w:eastAsia="lt-LT"/>
              </w:rPr>
            </w:pPr>
            <w:r>
              <w:rPr>
                <w:rFonts w:hint="default" w:ascii="Times New Roman" w:hAnsi="Times New Roman" w:eastAsia="Times New Roman" w:cs="Times New Roman"/>
                <w:sz w:val="20"/>
                <w:szCs w:val="20"/>
                <w:lang w:val="en-US" w:eastAsia="lt-LT"/>
              </w:rPr>
              <w:t>Debreceno g. 70-14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r>
              <w:rPr>
                <w:rFonts w:ascii="Times New Roman" w:hAnsi="Times New Roman" w:cs="Times New Roman"/>
                <w:sz w:val="20"/>
                <w:szCs w:val="20"/>
              </w:rPr>
              <w:t>Swedbank AB</w:t>
            </w:r>
            <w:r>
              <w:rPr>
                <w:rFonts w:ascii="Times New Roman" w:hAnsi="Times New Roman" w:cs="Times New Roman"/>
                <w:sz w:val="20"/>
                <w:szCs w:val="20"/>
              </w:rPr>
              <w:tab/>
            </w:r>
          </w:p>
        </w:tc>
        <w:tc>
          <w:tcPr>
            <w:tcW w:w="1417" w:type="dxa"/>
            <w:tcBorders>
              <w:top w:val="nil"/>
              <w:left w:val="nil"/>
              <w:bottom w:val="nil"/>
              <w:right w:val="nil"/>
            </w:tcBorders>
            <w:shd w:val="clear" w:color="auto" w:fill="auto"/>
          </w:tcPr>
          <w:p>
            <w:pPr>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spacing w:line="240" w:lineRule="auto"/>
              <w:jc w:val="both"/>
              <w:rPr>
                <w:rFonts w:hint="default" w:ascii="Times New Roman" w:hAnsi="Times New Roman" w:cs="Times New Roman"/>
                <w:sz w:val="20"/>
                <w:szCs w:val="20"/>
                <w:lang w:val="lt-LT"/>
              </w:rPr>
            </w:pPr>
            <w:r>
              <w:rPr>
                <w:rFonts w:hint="default" w:ascii="Times New Roman" w:hAnsi="Times New Roman" w:cs="Times New Roman"/>
                <w:sz w:val="20"/>
                <w:szCs w:val="20"/>
                <w:lang w:val="lt-LT"/>
              </w:rPr>
              <w:t>Klaipėda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r>
              <w:rPr>
                <w:rFonts w:ascii="Times New Roman" w:hAnsi="Times New Roman" w:cs="Times New Roman"/>
                <w:sz w:val="20"/>
                <w:szCs w:val="20"/>
              </w:rPr>
              <w:t>Banko kodas 7000</w:t>
            </w:r>
          </w:p>
        </w:tc>
        <w:tc>
          <w:tcPr>
            <w:tcW w:w="1417" w:type="dxa"/>
            <w:tcBorders>
              <w:top w:val="nil"/>
              <w:left w:val="nil"/>
              <w:bottom w:val="nil"/>
              <w:right w:val="nil"/>
            </w:tcBorders>
            <w:shd w:val="clear" w:color="auto" w:fill="auto"/>
          </w:tcPr>
          <w:p>
            <w:pPr>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jc w:val="both"/>
              <w:rPr>
                <w:rFonts w:hint="default" w:ascii="Times New Roman" w:hAnsi="Times New Roman" w:cs="Times New Roman"/>
                <w:sz w:val="20"/>
                <w:szCs w:val="20"/>
                <w:lang w:val="lt-LT"/>
              </w:rPr>
            </w:pPr>
            <w:r>
              <w:rPr>
                <w:rFonts w:hint="default" w:ascii="Times New Roman" w:hAnsi="Times New Roman" w:cs="Times New Roman"/>
                <w:sz w:val="20"/>
                <w:szCs w:val="20"/>
                <w:lang w:val="lt-LT"/>
              </w:rPr>
              <w:t>861155076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A/S Nr. </w:t>
            </w:r>
            <w:r>
              <w:rPr>
                <w:rFonts w:ascii="Times New Roman" w:hAnsi="Times New Roman" w:cs="Times New Roman"/>
                <w:color w:val="000000"/>
                <w:sz w:val="20"/>
                <w:szCs w:val="20"/>
                <w:shd w:val="clear" w:color="auto" w:fill="FAFAFA"/>
              </w:rPr>
              <w:t>LT127300010166799003</w:t>
            </w:r>
          </w:p>
        </w:tc>
        <w:tc>
          <w:tcPr>
            <w:tcW w:w="141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lang w:val="lt-LT"/>
              </w:rPr>
              <w:t>g.grazule</w:t>
            </w:r>
            <w:r>
              <w:rPr>
                <w:rFonts w:hint="default" w:ascii="Times New Roman" w:hAnsi="Times New Roman" w:cs="Times New Roman"/>
                <w:sz w:val="20"/>
                <w:szCs w:val="20"/>
                <w:lang w:val="en-US"/>
              </w:rPr>
              <w: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r>
              <w:rPr>
                <w:rFonts w:ascii="Times New Roman" w:hAnsi="Times New Roman" w:cs="Times New Roman"/>
                <w:sz w:val="20"/>
                <w:szCs w:val="20"/>
              </w:rPr>
              <w:t>Tel. 8-629-82756</w:t>
            </w:r>
          </w:p>
        </w:tc>
        <w:tc>
          <w:tcPr>
            <w:tcW w:w="141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lang w:val="sv-SE"/>
              </w:rPr>
            </w:pPr>
            <w:r>
              <w:rPr>
                <w:rFonts w:ascii="Times New Roman" w:hAnsi="Times New Roman" w:cs="Times New Roman"/>
                <w:sz w:val="20"/>
                <w:szCs w:val="20"/>
              </w:rPr>
              <w:t>El. p. bitemedinfo</w:t>
            </w:r>
            <w:r>
              <w:rPr>
                <w:rFonts w:ascii="Times New Roman" w:hAnsi="Times New Roman" w:cs="Times New Roman"/>
                <w:sz w:val="20"/>
                <w:szCs w:val="20"/>
                <w:lang w:val="sv-SE"/>
              </w:rPr>
              <w:t xml:space="preserve">@gmail.com </w:t>
            </w:r>
          </w:p>
        </w:tc>
        <w:tc>
          <w:tcPr>
            <w:tcW w:w="141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lang w:val="sv-SE"/>
              </w:rPr>
            </w:pPr>
          </w:p>
        </w:tc>
        <w:tc>
          <w:tcPr>
            <w:tcW w:w="436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r>
              <w:rPr>
                <w:rFonts w:ascii="Times New Roman" w:hAnsi="Times New Roman" w:cs="Times New Roman"/>
                <w:sz w:val="20"/>
                <w:szCs w:val="20"/>
              </w:rPr>
              <w:t>Partneris</w:t>
            </w:r>
          </w:p>
        </w:tc>
        <w:tc>
          <w:tcPr>
            <w:tcW w:w="141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r>
              <w:rPr>
                <w:rFonts w:ascii="Times New Roman" w:hAnsi="Times New Roman" w:cs="Times New Roman"/>
                <w:sz w:val="20"/>
                <w:szCs w:val="20"/>
              </w:rPr>
              <w:t>Viktorija Griguolaitė</w:t>
            </w:r>
          </w:p>
        </w:tc>
        <w:tc>
          <w:tcPr>
            <w:tcW w:w="141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c>
          <w:tcPr>
            <w:tcW w:w="4367" w:type="dxa"/>
            <w:tcBorders>
              <w:top w:val="nil"/>
              <w:left w:val="nil"/>
              <w:bottom w:val="nil"/>
              <w:right w:val="nil"/>
            </w:tcBorders>
            <w:shd w:val="clear" w:color="auto" w:fill="auto"/>
          </w:tcPr>
          <w:p>
            <w:pPr>
              <w:spacing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single" w:color="auto" w:sz="4" w:space="0"/>
              <w:right w:val="nil"/>
            </w:tcBorders>
            <w:shd w:val="clear" w:color="auto" w:fill="auto"/>
          </w:tcPr>
          <w:p>
            <w:pPr>
              <w:spacing w:line="240" w:lineRule="auto"/>
              <w:jc w:val="both"/>
              <w:rPr>
                <w:sz w:val="16"/>
                <w:szCs w:val="16"/>
              </w:rPr>
            </w:pPr>
          </w:p>
        </w:tc>
        <w:tc>
          <w:tcPr>
            <w:tcW w:w="1417" w:type="dxa"/>
            <w:tcBorders>
              <w:top w:val="nil"/>
              <w:left w:val="nil"/>
              <w:bottom w:val="nil"/>
              <w:right w:val="nil"/>
            </w:tcBorders>
            <w:shd w:val="clear" w:color="auto" w:fill="auto"/>
          </w:tcPr>
          <w:p>
            <w:pPr>
              <w:spacing w:line="240" w:lineRule="auto"/>
              <w:jc w:val="both"/>
              <w:rPr>
                <w:sz w:val="16"/>
                <w:szCs w:val="16"/>
              </w:rPr>
            </w:pPr>
          </w:p>
        </w:tc>
        <w:tc>
          <w:tcPr>
            <w:tcW w:w="4367" w:type="dxa"/>
            <w:tcBorders>
              <w:top w:val="nil"/>
              <w:left w:val="nil"/>
              <w:bottom w:val="single" w:color="auto" w:sz="4" w:space="0"/>
              <w:right w:val="nil"/>
            </w:tcBorders>
            <w:shd w:val="clear" w:color="auto" w:fill="auto"/>
          </w:tcPr>
          <w:p>
            <w:pPr>
              <w:spacing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left w:val="nil"/>
              <w:bottom w:val="nil"/>
              <w:right w:val="nil"/>
            </w:tcBorders>
            <w:shd w:val="clear" w:color="auto" w:fill="auto"/>
          </w:tcPr>
          <w:p>
            <w:pPr>
              <w:spacing w:line="240" w:lineRule="auto"/>
              <w:jc w:val="center"/>
              <w:rPr>
                <w:i/>
                <w:sz w:val="16"/>
                <w:szCs w:val="16"/>
              </w:rPr>
            </w:pPr>
            <w:r>
              <w:rPr>
                <w:i/>
                <w:sz w:val="16"/>
                <w:szCs w:val="16"/>
              </w:rPr>
              <w:t>(parašas)</w:t>
            </w:r>
          </w:p>
        </w:tc>
        <w:tc>
          <w:tcPr>
            <w:tcW w:w="1417" w:type="dxa"/>
            <w:tcBorders>
              <w:top w:val="nil"/>
              <w:left w:val="nil"/>
              <w:bottom w:val="nil"/>
              <w:right w:val="nil"/>
            </w:tcBorders>
            <w:shd w:val="clear" w:color="auto" w:fill="auto"/>
          </w:tcPr>
          <w:p>
            <w:pPr>
              <w:spacing w:line="240" w:lineRule="auto"/>
              <w:jc w:val="center"/>
              <w:rPr>
                <w:sz w:val="16"/>
                <w:szCs w:val="16"/>
              </w:rPr>
            </w:pPr>
          </w:p>
        </w:tc>
        <w:tc>
          <w:tcPr>
            <w:tcW w:w="4367" w:type="dxa"/>
            <w:tcBorders>
              <w:left w:val="nil"/>
              <w:bottom w:val="nil"/>
              <w:right w:val="nil"/>
            </w:tcBorders>
            <w:shd w:val="clear" w:color="auto" w:fill="auto"/>
          </w:tcPr>
          <w:p>
            <w:pPr>
              <w:spacing w:line="240" w:lineRule="auto"/>
              <w:jc w:val="center"/>
              <w:rPr>
                <w:i/>
                <w:sz w:val="16"/>
                <w:szCs w:val="16"/>
              </w:rPr>
            </w:pPr>
            <w:r>
              <w:rPr>
                <w:i/>
                <w:sz w:val="16"/>
                <w:szCs w:val="16"/>
              </w:rPr>
              <w:t>(parašas)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Borders>
              <w:top w:val="nil"/>
              <w:left w:val="nil"/>
              <w:bottom w:val="nil"/>
              <w:right w:val="nil"/>
            </w:tcBorders>
            <w:shd w:val="clear" w:color="auto" w:fill="auto"/>
          </w:tcPr>
          <w:p>
            <w:pPr>
              <w:spacing w:line="240" w:lineRule="auto"/>
              <w:jc w:val="both"/>
              <w:rPr>
                <w:sz w:val="16"/>
                <w:szCs w:val="16"/>
              </w:rPr>
            </w:pPr>
          </w:p>
        </w:tc>
        <w:tc>
          <w:tcPr>
            <w:tcW w:w="1417" w:type="dxa"/>
            <w:tcBorders>
              <w:top w:val="nil"/>
              <w:left w:val="nil"/>
              <w:bottom w:val="nil"/>
              <w:right w:val="nil"/>
            </w:tcBorders>
            <w:shd w:val="clear" w:color="auto" w:fill="auto"/>
          </w:tcPr>
          <w:p>
            <w:pPr>
              <w:spacing w:line="240" w:lineRule="auto"/>
              <w:jc w:val="both"/>
              <w:rPr>
                <w:sz w:val="16"/>
                <w:szCs w:val="16"/>
              </w:rPr>
            </w:pPr>
          </w:p>
        </w:tc>
        <w:tc>
          <w:tcPr>
            <w:tcW w:w="4367" w:type="dxa"/>
            <w:tcBorders>
              <w:top w:val="nil"/>
              <w:left w:val="nil"/>
              <w:bottom w:val="nil"/>
              <w:right w:val="nil"/>
            </w:tcBorders>
            <w:shd w:val="clear" w:color="auto" w:fill="auto"/>
          </w:tcPr>
          <w:p>
            <w:pPr>
              <w:spacing w:line="240" w:lineRule="auto"/>
              <w:jc w:val="both"/>
              <w:rPr>
                <w:sz w:val="16"/>
                <w:szCs w:val="16"/>
              </w:rPr>
            </w:pPr>
          </w:p>
        </w:tc>
      </w:tr>
    </w:tbl>
    <w:p>
      <w:pPr>
        <w:tabs>
          <w:tab w:val="left" w:pos="729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center"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Su prietaiso naudojimosi žodinėmis instrukcijomis susipažinau ir visos sąlygos man yra aiškios ir suprantamos. Prietaisą gavau, apžiūrėjau ir patvirtinu, kad naudojimui yra tinkamas.</w:t>
      </w:r>
    </w:p>
    <w:p>
      <w:pPr>
        <w:spacing w:after="0" w:line="240" w:lineRule="auto"/>
        <w:ind w:left="360"/>
        <w:jc w:val="both"/>
        <w:rPr>
          <w:rFonts w:ascii="Times New Roman" w:hAnsi="Times New Roman" w:cs="Times New Roman"/>
          <w:sz w:val="24"/>
          <w:szCs w:val="24"/>
        </w:rPr>
      </w:pPr>
    </w:p>
    <w:p>
      <w:pPr>
        <w:tabs>
          <w:tab w:val="left" w:pos="729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Nuomininkas</w:t>
      </w:r>
    </w:p>
    <w:p>
      <w:pPr>
        <w:tabs>
          <w:tab w:val="left" w:pos="7290"/>
        </w:tabs>
        <w:spacing w:after="0" w:line="240" w:lineRule="auto"/>
        <w:ind w:left="360"/>
        <w:jc w:val="both"/>
        <w:rPr>
          <w:rFonts w:ascii="Times New Roman" w:hAnsi="Times New Roman" w:cs="Times New Roman"/>
          <w:b/>
          <w:sz w:val="24"/>
          <w:szCs w:val="24"/>
        </w:rPr>
      </w:pPr>
    </w:p>
    <w:p>
      <w:pPr>
        <w:tabs>
          <w:tab w:val="left" w:pos="7290"/>
        </w:tabs>
        <w:spacing w:after="0" w:line="240" w:lineRule="auto"/>
        <w:ind w:left="360"/>
        <w:jc w:val="both"/>
        <w:rPr>
          <w:rFonts w:ascii="Times New Roman" w:hAnsi="Times New Roman" w:cs="Times New Roman"/>
          <w:b/>
          <w:sz w:val="24"/>
          <w:szCs w:val="24"/>
        </w:rPr>
      </w:pPr>
    </w:p>
    <w:p>
      <w:pPr>
        <w:tabs>
          <w:tab w:val="left" w:pos="729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3"/>
        <w:tblpPr w:leftFromText="180" w:rightFromText="180" w:vertAnchor="text" w:tblpY="1"/>
        <w:tblOverlap w:val="never"/>
        <w:tblW w:w="0" w:type="auto"/>
        <w:tblInd w:w="551"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1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3912" w:type="dxa"/>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(Vardas Pavardė parašas)</w:t>
            </w:r>
          </w:p>
        </w:tc>
      </w:tr>
    </w:tbl>
    <w:p>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ind w:firstLine="284"/>
        <w:rPr>
          <w:rFonts w:ascii="Times New Roman" w:hAnsi="Times New Roman" w:cs="Times New Roman"/>
          <w:sz w:val="24"/>
          <w:szCs w:val="24"/>
        </w:rPr>
      </w:pPr>
      <w:r>
        <w:rPr>
          <w:rFonts w:ascii="Times New Roman" w:hAnsi="Times New Roman" w:cs="Times New Roman"/>
          <w:sz w:val="24"/>
          <w:szCs w:val="24"/>
        </w:rPr>
        <w:t>Prietaisus grąžinau:</w:t>
      </w:r>
    </w:p>
    <w:p>
      <w:pPr>
        <w:rPr>
          <w:rFonts w:ascii="Times New Roman" w:hAnsi="Times New Roman" w:cs="Times New Roman"/>
          <w:sz w:val="24"/>
          <w:szCs w:val="24"/>
        </w:rPr>
      </w:pPr>
      <w:r>
        <w:rPr>
          <w:rFonts w:ascii="Times New Roman" w:hAnsi="Times New Roman" w:cs="Times New Roman"/>
          <w:sz w:val="24"/>
          <w:szCs w:val="24"/>
        </w:rPr>
        <w:t xml:space="preserve">     Data:</w:t>
      </w:r>
    </w:p>
    <w:p>
      <w:pPr>
        <w:rPr>
          <w:rFonts w:ascii="Times New Roman" w:hAnsi="Times New Roman" w:cs="Times New Roman"/>
          <w:sz w:val="24"/>
          <w:szCs w:val="24"/>
        </w:rPr>
      </w:pPr>
      <w:r>
        <w:rPr>
          <w:rFonts w:ascii="Times New Roman" w:hAnsi="Times New Roman" w:cs="Times New Roman"/>
          <w:sz w:val="24"/>
          <w:szCs w:val="24"/>
        </w:rPr>
        <w:t xml:space="preserve">     Parašas:</w:t>
      </w:r>
    </w:p>
    <w:sectPr>
      <w:pgSz w:w="11906" w:h="16838"/>
      <w:pgMar w:top="567" w:right="282" w:bottom="709" w:left="142" w:header="567" w:footer="567" w:gutter="0"/>
      <w:cols w:space="1296"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9248F"/>
    <w:multiLevelType w:val="multilevel"/>
    <w:tmpl w:val="0EE9248F"/>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296"/>
  <w:hyphenationZone w:val="396"/>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3"/>
    <w:rsid w:val="000023EA"/>
    <w:rsid w:val="00005637"/>
    <w:rsid w:val="0003623C"/>
    <w:rsid w:val="0003684A"/>
    <w:rsid w:val="0004380C"/>
    <w:rsid w:val="00062DA4"/>
    <w:rsid w:val="00083EFC"/>
    <w:rsid w:val="00094863"/>
    <w:rsid w:val="000964ED"/>
    <w:rsid w:val="000A5268"/>
    <w:rsid w:val="000D11F7"/>
    <w:rsid w:val="000D78A6"/>
    <w:rsid w:val="000F2829"/>
    <w:rsid w:val="001261F1"/>
    <w:rsid w:val="00127B8D"/>
    <w:rsid w:val="001409B3"/>
    <w:rsid w:val="00191A9F"/>
    <w:rsid w:val="001949D5"/>
    <w:rsid w:val="001C1705"/>
    <w:rsid w:val="001D1C8A"/>
    <w:rsid w:val="001D544F"/>
    <w:rsid w:val="001E41B6"/>
    <w:rsid w:val="001E67F0"/>
    <w:rsid w:val="001F4C8A"/>
    <w:rsid w:val="00206F77"/>
    <w:rsid w:val="00265A2E"/>
    <w:rsid w:val="002822E9"/>
    <w:rsid w:val="002958A4"/>
    <w:rsid w:val="002B1C40"/>
    <w:rsid w:val="002D4669"/>
    <w:rsid w:val="002D5389"/>
    <w:rsid w:val="002E53A2"/>
    <w:rsid w:val="00305203"/>
    <w:rsid w:val="00311B5B"/>
    <w:rsid w:val="0032099A"/>
    <w:rsid w:val="00335945"/>
    <w:rsid w:val="0034179A"/>
    <w:rsid w:val="003438AB"/>
    <w:rsid w:val="003506E2"/>
    <w:rsid w:val="00380C11"/>
    <w:rsid w:val="003B2F52"/>
    <w:rsid w:val="003B6834"/>
    <w:rsid w:val="003C0E89"/>
    <w:rsid w:val="003D4CA8"/>
    <w:rsid w:val="003E5630"/>
    <w:rsid w:val="003F09C3"/>
    <w:rsid w:val="003F0F59"/>
    <w:rsid w:val="003F3E08"/>
    <w:rsid w:val="0040317D"/>
    <w:rsid w:val="0042684B"/>
    <w:rsid w:val="00430184"/>
    <w:rsid w:val="00450E94"/>
    <w:rsid w:val="00456537"/>
    <w:rsid w:val="004D6409"/>
    <w:rsid w:val="004D6C1B"/>
    <w:rsid w:val="004F4955"/>
    <w:rsid w:val="005118D7"/>
    <w:rsid w:val="005548DF"/>
    <w:rsid w:val="005652A8"/>
    <w:rsid w:val="00575851"/>
    <w:rsid w:val="0059014E"/>
    <w:rsid w:val="00593CFB"/>
    <w:rsid w:val="005C0CFE"/>
    <w:rsid w:val="005C1B6F"/>
    <w:rsid w:val="00604383"/>
    <w:rsid w:val="0060507C"/>
    <w:rsid w:val="006114E2"/>
    <w:rsid w:val="0061224D"/>
    <w:rsid w:val="00614873"/>
    <w:rsid w:val="006176AD"/>
    <w:rsid w:val="0062508B"/>
    <w:rsid w:val="00634A39"/>
    <w:rsid w:val="006374CB"/>
    <w:rsid w:val="00643727"/>
    <w:rsid w:val="006522C2"/>
    <w:rsid w:val="006547E8"/>
    <w:rsid w:val="00670B7D"/>
    <w:rsid w:val="006C2928"/>
    <w:rsid w:val="006D415E"/>
    <w:rsid w:val="006D7FE0"/>
    <w:rsid w:val="006E1306"/>
    <w:rsid w:val="006F2FA6"/>
    <w:rsid w:val="007047A5"/>
    <w:rsid w:val="007136F2"/>
    <w:rsid w:val="00713982"/>
    <w:rsid w:val="00723A07"/>
    <w:rsid w:val="00730D33"/>
    <w:rsid w:val="007339BB"/>
    <w:rsid w:val="00743D6F"/>
    <w:rsid w:val="00747BAA"/>
    <w:rsid w:val="00751375"/>
    <w:rsid w:val="00775B83"/>
    <w:rsid w:val="00783689"/>
    <w:rsid w:val="007A039B"/>
    <w:rsid w:val="007B56CB"/>
    <w:rsid w:val="007C7532"/>
    <w:rsid w:val="007D655D"/>
    <w:rsid w:val="007D7CB8"/>
    <w:rsid w:val="007F073D"/>
    <w:rsid w:val="007F402B"/>
    <w:rsid w:val="007F55EC"/>
    <w:rsid w:val="007F5D4F"/>
    <w:rsid w:val="008062F6"/>
    <w:rsid w:val="00815136"/>
    <w:rsid w:val="008449DD"/>
    <w:rsid w:val="00854D2C"/>
    <w:rsid w:val="00861D2C"/>
    <w:rsid w:val="00874F03"/>
    <w:rsid w:val="00882845"/>
    <w:rsid w:val="00882F13"/>
    <w:rsid w:val="008A45E5"/>
    <w:rsid w:val="008D426E"/>
    <w:rsid w:val="008E5767"/>
    <w:rsid w:val="008F2F8F"/>
    <w:rsid w:val="008F378D"/>
    <w:rsid w:val="008F782C"/>
    <w:rsid w:val="00903778"/>
    <w:rsid w:val="009323C5"/>
    <w:rsid w:val="0094342F"/>
    <w:rsid w:val="00952B6F"/>
    <w:rsid w:val="00966377"/>
    <w:rsid w:val="009818AE"/>
    <w:rsid w:val="009834F6"/>
    <w:rsid w:val="00984323"/>
    <w:rsid w:val="009A069C"/>
    <w:rsid w:val="009A1170"/>
    <w:rsid w:val="009B3530"/>
    <w:rsid w:val="009C2E17"/>
    <w:rsid w:val="009E5A23"/>
    <w:rsid w:val="00A2298A"/>
    <w:rsid w:val="00A30789"/>
    <w:rsid w:val="00A73C1B"/>
    <w:rsid w:val="00A8509C"/>
    <w:rsid w:val="00AF19D4"/>
    <w:rsid w:val="00B02219"/>
    <w:rsid w:val="00B1492B"/>
    <w:rsid w:val="00B40588"/>
    <w:rsid w:val="00B42E99"/>
    <w:rsid w:val="00B57178"/>
    <w:rsid w:val="00B61C44"/>
    <w:rsid w:val="00B81EA7"/>
    <w:rsid w:val="00B83AB9"/>
    <w:rsid w:val="00BA07CC"/>
    <w:rsid w:val="00BC0E61"/>
    <w:rsid w:val="00BE3A85"/>
    <w:rsid w:val="00C102E0"/>
    <w:rsid w:val="00C10A23"/>
    <w:rsid w:val="00C25969"/>
    <w:rsid w:val="00C27F60"/>
    <w:rsid w:val="00C63F19"/>
    <w:rsid w:val="00CA0A69"/>
    <w:rsid w:val="00CB2511"/>
    <w:rsid w:val="00CD431C"/>
    <w:rsid w:val="00CE2CF8"/>
    <w:rsid w:val="00CE41C9"/>
    <w:rsid w:val="00D2747C"/>
    <w:rsid w:val="00D340E0"/>
    <w:rsid w:val="00D5202D"/>
    <w:rsid w:val="00D60737"/>
    <w:rsid w:val="00D73D90"/>
    <w:rsid w:val="00DD04E5"/>
    <w:rsid w:val="00DD2A9C"/>
    <w:rsid w:val="00DD3FFA"/>
    <w:rsid w:val="00DD4193"/>
    <w:rsid w:val="00DE0382"/>
    <w:rsid w:val="00E301B7"/>
    <w:rsid w:val="00E60BDA"/>
    <w:rsid w:val="00E7039A"/>
    <w:rsid w:val="00E72FE8"/>
    <w:rsid w:val="00E85B3A"/>
    <w:rsid w:val="00EA08A0"/>
    <w:rsid w:val="00EA2BA2"/>
    <w:rsid w:val="00EB261A"/>
    <w:rsid w:val="00EB7344"/>
    <w:rsid w:val="00ED5C52"/>
    <w:rsid w:val="00ED739A"/>
    <w:rsid w:val="00EE0049"/>
    <w:rsid w:val="00F05B2F"/>
    <w:rsid w:val="00F12F81"/>
    <w:rsid w:val="00F175F5"/>
    <w:rsid w:val="00F268A5"/>
    <w:rsid w:val="00F32A7C"/>
    <w:rsid w:val="00F349E0"/>
    <w:rsid w:val="00F8430A"/>
    <w:rsid w:val="00FB1C28"/>
    <w:rsid w:val="00FB2E19"/>
    <w:rsid w:val="00FC631D"/>
    <w:rsid w:val="00FE3AA8"/>
    <w:rsid w:val="00FF4D5F"/>
    <w:rsid w:val="1ACD2209"/>
    <w:rsid w:val="23F33F4A"/>
    <w:rsid w:val="24FB6446"/>
    <w:rsid w:val="346B2639"/>
    <w:rsid w:val="35033E2D"/>
    <w:rsid w:val="3A111A2B"/>
    <w:rsid w:val="42541715"/>
    <w:rsid w:val="46DF53F0"/>
    <w:rsid w:val="483217D0"/>
    <w:rsid w:val="4D9C29F0"/>
    <w:rsid w:val="50395837"/>
    <w:rsid w:val="541862D0"/>
    <w:rsid w:val="55550B9A"/>
    <w:rsid w:val="5AF10DC3"/>
    <w:rsid w:val="5CD379EA"/>
    <w:rsid w:val="6C68167F"/>
    <w:rsid w:val="717563D1"/>
    <w:rsid w:val="72754BD1"/>
    <w:rsid w:val="7DCF36A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lt-L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iPriority w:val="0"/>
    <w:rPr>
      <w:u w:val="single"/>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elementor-icon-list-text"/>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37C50-537C-4A01-B193-93B26D194467}">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788</Words>
  <Characters>5682</Characters>
  <Lines>21</Lines>
  <Paragraphs>14</Paragraphs>
  <TotalTime>3</TotalTime>
  <ScaleCrop>false</ScaleCrop>
  <LinksUpToDate>false</LinksUpToDate>
  <CharactersWithSpaces>6882</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2020-08-17T15:55:00Z</dcterms:created>
  <dc:creator>user</dc:creator>
  <cp:lastModifiedBy>Viktorija</cp:lastModifiedBy>
  <cp:lastPrinted>2021-05-10T07:28:00Z</cp:lastPrinted>
  <dcterms:modified xsi:type="dcterms:W3CDTF">2021-05-11T13:18:48Z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